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315FC3"/>
        <w:tblCellMar>
          <w:left w:w="0" w:type="dxa"/>
          <w:right w:w="0" w:type="dxa"/>
        </w:tblCellMar>
        <w:tblLook w:val="04A0" w:firstRow="1" w:lastRow="0" w:firstColumn="1" w:lastColumn="0" w:noHBand="0" w:noVBand="1"/>
      </w:tblPr>
      <w:tblGrid>
        <w:gridCol w:w="9360"/>
      </w:tblGrid>
      <w:tr w:rsidR="005F56CE" w14:paraId="4C66AB1C" w14:textId="77777777" w:rsidTr="005F56CE">
        <w:tc>
          <w:tcPr>
            <w:tcW w:w="0" w:type="auto"/>
            <w:shd w:val="clear" w:color="auto" w:fill="315FC3"/>
            <w:hideMark/>
          </w:tcPr>
          <w:tbl>
            <w:tblPr>
              <w:tblW w:w="9300" w:type="dxa"/>
              <w:jc w:val="center"/>
              <w:tblCellMar>
                <w:left w:w="0" w:type="dxa"/>
                <w:right w:w="0" w:type="dxa"/>
              </w:tblCellMar>
              <w:tblLook w:val="04A0" w:firstRow="1" w:lastRow="0" w:firstColumn="1" w:lastColumn="0" w:noHBand="0" w:noVBand="1"/>
            </w:tblPr>
            <w:tblGrid>
              <w:gridCol w:w="9300"/>
            </w:tblGrid>
            <w:tr w:rsidR="005F56CE" w14:paraId="0D408D20" w14:textId="77777777">
              <w:trPr>
                <w:jc w:val="center"/>
              </w:trPr>
              <w:tc>
                <w:tcPr>
                  <w:tcW w:w="0" w:type="auto"/>
                  <w:tcMar>
                    <w:top w:w="225" w:type="dxa"/>
                    <w:left w:w="150" w:type="dxa"/>
                    <w:bottom w:w="22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7A00F9AE"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5F56CE" w14:paraId="3D8DD98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4EE28E91" w14:textId="77777777">
                                <w:trPr>
                                  <w:trHeight w:val="15"/>
                                  <w:jc w:val="center"/>
                                </w:trPr>
                                <w:tc>
                                  <w:tcPr>
                                    <w:tcW w:w="5000" w:type="pct"/>
                                    <w:tcMar>
                                      <w:top w:w="0" w:type="dxa"/>
                                      <w:left w:w="0" w:type="dxa"/>
                                      <w:bottom w:w="150" w:type="dxa"/>
                                      <w:right w:w="0" w:type="dxa"/>
                                    </w:tcMar>
                                    <w:hideMark/>
                                  </w:tcPr>
                                  <w:p w14:paraId="697F2CB2" w14:textId="500A3EFC" w:rsidR="005F56CE" w:rsidRDefault="005F56CE">
                                    <w:pPr>
                                      <w:spacing w:line="15" w:lineRule="atLeast"/>
                                      <w:jc w:val="center"/>
                                    </w:pPr>
                                    <w:r>
                                      <w:rPr>
                                        <w:noProof/>
                                      </w:rPr>
                                      <w:drawing>
                                        <wp:inline distT="0" distB="0" distL="0" distR="0" wp14:anchorId="39EF44DE" wp14:editId="5F51612F">
                                          <wp:extent cx="45720" cy="76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4842BB6" w14:textId="77777777" w:rsidR="005F56CE" w:rsidRDefault="005F56CE">
                              <w:pPr>
                                <w:jc w:val="center"/>
                                <w:rPr>
                                  <w:rFonts w:ascii="Times New Roman" w:eastAsia="Times New Roman" w:hAnsi="Times New Roman" w:cs="Times New Roman"/>
                                  <w:sz w:val="20"/>
                                  <w:szCs w:val="20"/>
                                </w:rPr>
                              </w:pPr>
                            </w:p>
                          </w:tc>
                        </w:tr>
                      </w:tbl>
                      <w:p w14:paraId="05E000C5" w14:textId="77777777" w:rsidR="005F56CE" w:rsidRDefault="005F56CE">
                        <w:pPr>
                          <w:jc w:val="center"/>
                        </w:pPr>
                      </w:p>
                      <w:tbl>
                        <w:tblPr>
                          <w:tblW w:w="5000" w:type="pct"/>
                          <w:jc w:val="center"/>
                          <w:tblCellMar>
                            <w:left w:w="0" w:type="dxa"/>
                            <w:right w:w="0" w:type="dxa"/>
                          </w:tblCellMar>
                          <w:tblLook w:val="04A0" w:firstRow="1" w:lastRow="0" w:firstColumn="1" w:lastColumn="0" w:noHBand="0" w:noVBand="1"/>
                        </w:tblPr>
                        <w:tblGrid>
                          <w:gridCol w:w="4950"/>
                          <w:gridCol w:w="4050"/>
                        </w:tblGrid>
                        <w:tr w:rsidR="005F56CE" w14:paraId="777BE9E2" w14:textId="77777777">
                          <w:trPr>
                            <w:jc w:val="center"/>
                          </w:trPr>
                          <w:tc>
                            <w:tcPr>
                              <w:tcW w:w="2500" w:type="pct"/>
                              <w:hideMark/>
                            </w:tcPr>
                            <w:tbl>
                              <w:tblPr>
                                <w:tblW w:w="5000" w:type="pct"/>
                                <w:jc w:val="center"/>
                                <w:tblCellMar>
                                  <w:left w:w="0" w:type="dxa"/>
                                  <w:right w:w="0" w:type="dxa"/>
                                </w:tblCellMar>
                                <w:tblLook w:val="04A0" w:firstRow="1" w:lastRow="0" w:firstColumn="1" w:lastColumn="0" w:noHBand="0" w:noVBand="1"/>
                              </w:tblPr>
                              <w:tblGrid>
                                <w:gridCol w:w="4950"/>
                              </w:tblGrid>
                              <w:tr w:rsidR="005F56CE" w14:paraId="39E3965E" w14:textId="77777777">
                                <w:trPr>
                                  <w:jc w:val="center"/>
                                </w:trPr>
                                <w:tc>
                                  <w:tcPr>
                                    <w:tcW w:w="0" w:type="auto"/>
                                    <w:tcMar>
                                      <w:top w:w="150" w:type="dxa"/>
                                      <w:left w:w="300" w:type="dxa"/>
                                      <w:bottom w:w="150" w:type="dxa"/>
                                      <w:right w:w="150" w:type="dxa"/>
                                    </w:tcMar>
                                    <w:hideMark/>
                                  </w:tcPr>
                                  <w:p w14:paraId="7D8A336B" w14:textId="2C130A32" w:rsidR="005F56CE" w:rsidRDefault="005F56CE">
                                    <w:pPr>
                                      <w:jc w:val="center"/>
                                    </w:pPr>
                                    <w:r>
                                      <w:rPr>
                                        <w:noProof/>
                                      </w:rPr>
                                      <w:drawing>
                                        <wp:inline distT="0" distB="0" distL="0" distR="0" wp14:anchorId="2B31C035" wp14:editId="02059ADF">
                                          <wp:extent cx="2857500" cy="2141220"/>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tc>
                              </w:tr>
                            </w:tbl>
                            <w:p w14:paraId="6B0C6FC9" w14:textId="77777777" w:rsidR="005F56CE" w:rsidRDefault="005F56CE">
                              <w:pPr>
                                <w:jc w:val="center"/>
                                <w:rPr>
                                  <w:rFonts w:ascii="Times New Roman" w:eastAsia="Times New Roman" w:hAnsi="Times New Roman" w:cs="Times New Roman"/>
                                  <w:sz w:val="20"/>
                                  <w:szCs w:val="20"/>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050"/>
                              </w:tblGrid>
                              <w:tr w:rsidR="005F56CE" w14:paraId="67279F0B" w14:textId="77777777">
                                <w:trPr>
                                  <w:jc w:val="center"/>
                                </w:trPr>
                                <w:tc>
                                  <w:tcPr>
                                    <w:tcW w:w="0" w:type="auto"/>
                                    <w:tcMar>
                                      <w:top w:w="150" w:type="dxa"/>
                                      <w:left w:w="150" w:type="dxa"/>
                                      <w:bottom w:w="150" w:type="dxa"/>
                                      <w:right w:w="300" w:type="dxa"/>
                                    </w:tcMar>
                                    <w:hideMark/>
                                  </w:tcPr>
                                  <w:p w14:paraId="5729517A" w14:textId="77777777" w:rsidR="005F56CE" w:rsidRDefault="005F56CE">
                                    <w:pPr>
                                      <w:pStyle w:val="NormalWeb"/>
                                      <w:rPr>
                                        <w:rFonts w:ascii="Helvetica" w:hAnsi="Helvetica" w:cs="Helvetica"/>
                                        <w:color w:val="606D78"/>
                                        <w:sz w:val="24"/>
                                        <w:szCs w:val="24"/>
                                      </w:rPr>
                                    </w:pPr>
                                    <w:r>
                                      <w:rPr>
                                        <w:rFonts w:ascii="Arial" w:hAnsi="Arial" w:cs="Arial"/>
                                        <w:i/>
                                        <w:iCs/>
                                        <w:color w:val="000000"/>
                                        <w:sz w:val="21"/>
                                        <w:szCs w:val="21"/>
                                      </w:rPr>
                                      <w:t>Established in 1991, UCC serves as the representative voice for state legislative advocacy for high-population counties in California. Initially composed of seven counties, the association has grown to 14 today. Nearly 80 percent of the state’s population reside in UCC counties. Consequently, urban counties carry out critical programs and services to the state’s most vulnerable populations. For more information, including details on our Board of Directors, please visit </w:t>
                                    </w:r>
                                    <w:hyperlink r:id="rId6" w:tgtFrame="_blank" w:history="1">
                                      <w:r>
                                        <w:rPr>
                                          <w:rStyle w:val="Hyperlink"/>
                                          <w:rFonts w:ascii="Arial" w:hAnsi="Arial" w:cs="Arial"/>
                                          <w:i/>
                                          <w:iCs/>
                                          <w:color w:val="000000"/>
                                          <w:sz w:val="21"/>
                                          <w:szCs w:val="21"/>
                                        </w:rPr>
                                        <w:t>our website</w:t>
                                      </w:r>
                                    </w:hyperlink>
                                    <w:r>
                                      <w:rPr>
                                        <w:rFonts w:ascii="Arial" w:hAnsi="Arial" w:cs="Arial"/>
                                        <w:i/>
                                        <w:iCs/>
                                        <w:color w:val="000000"/>
                                        <w:sz w:val="21"/>
                                        <w:szCs w:val="21"/>
                                      </w:rPr>
                                      <w:t>.</w:t>
                                    </w:r>
                                  </w:p>
                                </w:tc>
                              </w:tr>
                            </w:tbl>
                            <w:p w14:paraId="760D4E25" w14:textId="77777777" w:rsidR="005F56CE" w:rsidRDefault="005F56CE">
                              <w:pPr>
                                <w:jc w:val="center"/>
                                <w:rPr>
                                  <w:rFonts w:ascii="Times New Roman" w:eastAsia="Times New Roman" w:hAnsi="Times New Roman" w:cs="Times New Roman"/>
                                  <w:sz w:val="20"/>
                                  <w:szCs w:val="20"/>
                                </w:rPr>
                              </w:pPr>
                            </w:p>
                          </w:tc>
                        </w:tr>
                      </w:tbl>
                      <w:p w14:paraId="67C87A76" w14:textId="77777777" w:rsidR="005F56CE" w:rsidRDefault="005F56C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5F56CE" w14:paraId="5DC4EE0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03F44BE4" w14:textId="77777777">
                                <w:trPr>
                                  <w:jc w:val="center"/>
                                </w:trPr>
                                <w:tc>
                                  <w:tcPr>
                                    <w:tcW w:w="0" w:type="auto"/>
                                    <w:tcMar>
                                      <w:top w:w="150" w:type="dxa"/>
                                      <w:left w:w="300" w:type="dxa"/>
                                      <w:bottom w:w="150" w:type="dxa"/>
                                      <w:right w:w="300" w:type="dxa"/>
                                    </w:tcMar>
                                    <w:hideMark/>
                                  </w:tcPr>
                                  <w:p w14:paraId="110EE859" w14:textId="77777777" w:rsidR="005F56CE" w:rsidRDefault="005F56CE">
                                    <w:pPr>
                                      <w:pStyle w:val="NormalWeb"/>
                                      <w:jc w:val="center"/>
                                      <w:rPr>
                                        <w:rFonts w:ascii="Arial" w:hAnsi="Arial" w:cs="Arial"/>
                                        <w:b/>
                                        <w:bCs/>
                                        <w:color w:val="606D78"/>
                                        <w:sz w:val="39"/>
                                        <w:szCs w:val="39"/>
                                      </w:rPr>
                                    </w:pPr>
                                    <w:r>
                                      <w:rPr>
                                        <w:rFonts w:ascii="Arial" w:hAnsi="Arial" w:cs="Arial"/>
                                        <w:b/>
                                        <w:bCs/>
                                        <w:color w:val="606D78"/>
                                        <w:sz w:val="32"/>
                                        <w:szCs w:val="32"/>
                                      </w:rPr>
                                      <w:t>March 11, 2022</w:t>
                                    </w:r>
                                  </w:p>
                                </w:tc>
                              </w:tr>
                            </w:tbl>
                            <w:p w14:paraId="4E102E16" w14:textId="77777777" w:rsidR="005F56CE" w:rsidRDefault="005F56CE">
                              <w:pPr>
                                <w:jc w:val="center"/>
                                <w:rPr>
                                  <w:rFonts w:ascii="Times New Roman" w:eastAsia="Times New Roman" w:hAnsi="Times New Roman" w:cs="Times New Roman"/>
                                  <w:sz w:val="20"/>
                                  <w:szCs w:val="20"/>
                                </w:rPr>
                              </w:pPr>
                            </w:p>
                          </w:tc>
                        </w:tr>
                        <w:tr w:rsidR="005F56CE" w14:paraId="07C291D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5DAF1083" w14:textId="77777777">
                                <w:trPr>
                                  <w:jc w:val="center"/>
                                </w:trPr>
                                <w:tc>
                                  <w:tcPr>
                                    <w:tcW w:w="0" w:type="auto"/>
                                    <w:tcMar>
                                      <w:top w:w="150" w:type="dxa"/>
                                      <w:left w:w="300" w:type="dxa"/>
                                      <w:bottom w:w="150" w:type="dxa"/>
                                      <w:right w:w="300" w:type="dxa"/>
                                    </w:tcMar>
                                    <w:hideMark/>
                                  </w:tcPr>
                                  <w:p w14:paraId="2572EB8C" w14:textId="77777777" w:rsidR="005F56CE" w:rsidRDefault="005F56CE">
                                    <w:pPr>
                                      <w:pStyle w:val="NormalWeb"/>
                                      <w:rPr>
                                        <w:rFonts w:ascii="Helvetica" w:hAnsi="Helvetica" w:cs="Helvetica"/>
                                        <w:color w:val="606D78"/>
                                        <w:sz w:val="24"/>
                                        <w:szCs w:val="24"/>
                                      </w:rPr>
                                    </w:pPr>
                                    <w:r>
                                      <w:rPr>
                                        <w:rFonts w:ascii="Helvetica" w:hAnsi="Helvetica" w:cs="Helvetica"/>
                                        <w:b/>
                                        <w:bCs/>
                                        <w:color w:val="000000"/>
                                        <w:sz w:val="24"/>
                                        <w:szCs w:val="24"/>
                                      </w:rPr>
                                      <w:t>Legislature to Address UC Berkeley Student Housing Issue</w:t>
                                    </w:r>
                                  </w:p>
                                  <w:p w14:paraId="0A4AE943" w14:textId="3DFE41C4"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The Legislature is poised to take action to try to address a recent court case regarding student enrollment at the University of California, Berkeley. As you may have read in the </w:t>
                                    </w:r>
                                    <w:hyperlink r:id="rId7" w:tgtFrame="_blank" w:history="1">
                                      <w:r>
                                        <w:rPr>
                                          <w:rStyle w:val="Hyperlink"/>
                                          <w:rFonts w:ascii="Helvetica" w:hAnsi="Helvetica" w:cs="Helvetica"/>
                                          <w:b/>
                                          <w:bCs/>
                                          <w:color w:val="34B3D0"/>
                                          <w:sz w:val="24"/>
                                          <w:szCs w:val="24"/>
                                          <w:u w:val="none"/>
                                        </w:rPr>
                                        <w:t>news</w:t>
                                      </w:r>
                                    </w:hyperlink>
                                    <w:r>
                                      <w:rPr>
                                        <w:rFonts w:ascii="Helvetica" w:hAnsi="Helvetica" w:cs="Helvetica"/>
                                        <w:color w:val="284FA1"/>
                                        <w:sz w:val="24"/>
                                        <w:szCs w:val="24"/>
                                      </w:rPr>
                                      <w:t>,</w:t>
                                    </w:r>
                                    <w:r>
                                      <w:rPr>
                                        <w:rFonts w:ascii="Helvetica" w:hAnsi="Helvetica" w:cs="Helvetica"/>
                                        <w:color w:val="000000"/>
                                        <w:sz w:val="24"/>
                                        <w:szCs w:val="24"/>
                                      </w:rPr>
                                      <w:t xml:space="preserve"> the California Supreme Court recently refused to issue a stay to a lower court ruling that reduces UC Berkeley enrollment to 2020-21 levels after a community group – Save Berkeley Neighborhoods – sued UC for failing to address the impacts of increased student enrollment on housing, homelessness, and noise under the California Environmental Quality Act (CEQA). To comply with the court’s ruling, UC Berkeley has said that it would reduce in-person enrollment by about 2,650; some students will be offered online or deferred enrollment as an alternative. </w:t>
                                    </w:r>
                                  </w:p>
                                  <w:p w14:paraId="76E36775" w14:textId="77777777"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Governor Gavin Newsom, who also serves on the UC Board of Regents, </w:t>
                                    </w:r>
                                    <w:hyperlink r:id="rId8" w:tgtFrame="_blank" w:history="1">
                                      <w:r>
                                        <w:rPr>
                                          <w:rStyle w:val="Hyperlink"/>
                                          <w:rFonts w:ascii="Helvetica" w:hAnsi="Helvetica" w:cs="Helvetica"/>
                                          <w:b/>
                                          <w:bCs/>
                                          <w:color w:val="34B3D0"/>
                                          <w:sz w:val="24"/>
                                          <w:szCs w:val="24"/>
                                          <w:u w:val="none"/>
                                        </w:rPr>
                                        <w:t>weighed in</w:t>
                                      </w:r>
                                    </w:hyperlink>
                                    <w:r>
                                      <w:rPr>
                                        <w:rFonts w:ascii="Helvetica" w:hAnsi="Helvetica" w:cs="Helvetica"/>
                                        <w:color w:val="000000"/>
                                        <w:sz w:val="24"/>
                                        <w:szCs w:val="24"/>
                                      </w:rPr>
                                      <w:t xml:space="preserve"> on the side of UC Berkeley with the court. Now, the Assembly and Senate budget committees are slated to hear two bills on Monday, one of which </w:t>
                                    </w:r>
                                    <w:hyperlink r:id="rId9" w:tgtFrame="_blank" w:history="1">
                                      <w:r>
                                        <w:rPr>
                                          <w:rStyle w:val="Hyperlink"/>
                                          <w:rFonts w:ascii="Helvetica" w:hAnsi="Helvetica" w:cs="Helvetica"/>
                                          <w:b/>
                                          <w:bCs/>
                                          <w:color w:val="34B3D0"/>
                                          <w:sz w:val="24"/>
                                          <w:szCs w:val="24"/>
                                          <w:u w:val="none"/>
                                        </w:rPr>
                                        <w:t>AB 168</w:t>
                                      </w:r>
                                    </w:hyperlink>
                                    <w:r>
                                      <w:rPr>
                                        <w:rFonts w:ascii="Helvetica" w:hAnsi="Helvetica" w:cs="Helvetica"/>
                                        <w:color w:val="34B3D0"/>
                                        <w:sz w:val="24"/>
                                        <w:szCs w:val="24"/>
                                      </w:rPr>
                                      <w:t xml:space="preserve"> </w:t>
                                    </w:r>
                                    <w:r>
                                      <w:rPr>
                                        <w:rFonts w:ascii="Helvetica" w:hAnsi="Helvetica" w:cs="Helvetica"/>
                                        <w:color w:val="000000"/>
                                        <w:sz w:val="24"/>
                                        <w:szCs w:val="24"/>
                                      </w:rPr>
                                      <w:t xml:space="preserve">(and its identical companion measure </w:t>
                                    </w:r>
                                    <w:hyperlink r:id="rId10" w:tgtFrame="_blank" w:history="1">
                                      <w:r>
                                        <w:rPr>
                                          <w:rStyle w:val="Hyperlink"/>
                                          <w:rFonts w:ascii="Helvetica" w:hAnsi="Helvetica" w:cs="Helvetica"/>
                                          <w:b/>
                                          <w:bCs/>
                                          <w:color w:val="34B3D0"/>
                                          <w:sz w:val="24"/>
                                          <w:szCs w:val="24"/>
                                          <w:u w:val="none"/>
                                        </w:rPr>
                                        <w:t>SB 1</w:t>
                                      </w:r>
                                    </w:hyperlink>
                                    <w:hyperlink r:id="rId11" w:tgtFrame="_blank" w:history="1">
                                      <w:r>
                                        <w:rPr>
                                          <w:rStyle w:val="Hyperlink"/>
                                          <w:rFonts w:ascii="Helvetica" w:hAnsi="Helvetica" w:cs="Helvetica"/>
                                          <w:b/>
                                          <w:bCs/>
                                          <w:color w:val="34B3D0"/>
                                          <w:sz w:val="24"/>
                                          <w:szCs w:val="24"/>
                                          <w:u w:val="none"/>
                                        </w:rPr>
                                        <w:t>18</w:t>
                                      </w:r>
                                    </w:hyperlink>
                                    <w:r>
                                      <w:rPr>
                                        <w:rFonts w:ascii="Helvetica" w:hAnsi="Helvetica" w:cs="Helvetica"/>
                                        <w:color w:val="34B3D0"/>
                                        <w:sz w:val="24"/>
                                        <w:szCs w:val="24"/>
                                      </w:rPr>
                                      <w:t xml:space="preserve">) </w:t>
                                    </w:r>
                                    <w:r>
                                      <w:rPr>
                                        <w:rFonts w:ascii="Helvetica" w:hAnsi="Helvetica" w:cs="Helvetica"/>
                                        <w:color w:val="000000"/>
                                        <w:sz w:val="24"/>
                                        <w:szCs w:val="24"/>
                                      </w:rPr>
                                      <w:t xml:space="preserve">urgently addresses UC’s conundrum. </w:t>
                                    </w:r>
                                    <w:r>
                                      <w:rPr>
                                        <w:rFonts w:ascii="Helvetica" w:hAnsi="Helvetica" w:cs="Helvetica"/>
                                        <w:color w:val="34B3D0"/>
                                        <w:sz w:val="24"/>
                                        <w:szCs w:val="24"/>
                                      </w:rPr>
                                      <w:t>(</w:t>
                                    </w:r>
                                    <w:r>
                                      <w:rPr>
                                        <w:rFonts w:ascii="Helvetica" w:hAnsi="Helvetica" w:cs="Helvetica"/>
                                        <w:color w:val="000000"/>
                                        <w:sz w:val="24"/>
                                        <w:szCs w:val="24"/>
                                      </w:rPr>
                                      <w:t>Additionally</w:t>
                                    </w:r>
                                    <w:r>
                                      <w:rPr>
                                        <w:rFonts w:ascii="Helvetica" w:hAnsi="Helvetica" w:cs="Helvetica"/>
                                        <w:color w:val="34B3D0"/>
                                        <w:sz w:val="24"/>
                                        <w:szCs w:val="24"/>
                                      </w:rPr>
                                      <w:t xml:space="preserve">, </w:t>
                                    </w:r>
                                    <w:hyperlink r:id="rId12" w:tgtFrame="_blank" w:history="1">
                                      <w:r>
                                        <w:rPr>
                                          <w:rStyle w:val="Hyperlink"/>
                                          <w:rFonts w:ascii="Helvetica" w:hAnsi="Helvetica" w:cs="Helvetica"/>
                                          <w:b/>
                                          <w:bCs/>
                                          <w:color w:val="34B3D0"/>
                                          <w:sz w:val="24"/>
                                          <w:szCs w:val="24"/>
                                          <w:u w:val="none"/>
                                        </w:rPr>
                                        <w:t>AB 169</w:t>
                                      </w:r>
                                    </w:hyperlink>
                                    <w:r>
                                      <w:rPr>
                                        <w:rFonts w:ascii="Helvetica" w:hAnsi="Helvetica" w:cs="Helvetica"/>
                                        <w:color w:val="34B3D0"/>
                                        <w:sz w:val="24"/>
                                        <w:szCs w:val="24"/>
                                      </w:rPr>
                                      <w:t>/</w:t>
                                    </w:r>
                                    <w:hyperlink r:id="rId13" w:tgtFrame="_blank" w:history="1">
                                      <w:r>
                                        <w:rPr>
                                          <w:rStyle w:val="Hyperlink"/>
                                          <w:rFonts w:ascii="Helvetica" w:hAnsi="Helvetica" w:cs="Helvetica"/>
                                          <w:b/>
                                          <w:bCs/>
                                          <w:color w:val="34B3D0"/>
                                          <w:sz w:val="24"/>
                                          <w:szCs w:val="24"/>
                                          <w:u w:val="none"/>
                                        </w:rPr>
                                        <w:t>SB 119</w:t>
                                      </w:r>
                                    </w:hyperlink>
                                    <w:r>
                                      <w:rPr>
                                        <w:rFonts w:ascii="Helvetica" w:hAnsi="Helvetica" w:cs="Helvetica"/>
                                        <w:color w:val="000000"/>
                                        <w:sz w:val="24"/>
                                        <w:szCs w:val="24"/>
                                      </w:rPr>
                                      <w:t xml:space="preserve"> – a new Budget Bill, Jr., which is proposed to make narrow corrective and clarifying changes to the 2021-22 Budget Act, will be discussed the committees.) The Assembly Budget Committee has prepared brief </w:t>
                                    </w:r>
                                    <w:hyperlink r:id="rId14" w:tgtFrame="_blank" w:history="1">
                                      <w:r>
                                        <w:rPr>
                                          <w:rStyle w:val="Hyperlink"/>
                                          <w:rFonts w:ascii="Helvetica" w:hAnsi="Helvetica" w:cs="Helvetica"/>
                                          <w:b/>
                                          <w:bCs/>
                                          <w:color w:val="34B3D0"/>
                                          <w:sz w:val="24"/>
                                          <w:szCs w:val="24"/>
                                          <w:u w:val="none"/>
                                        </w:rPr>
                                        <w:t>summaries</w:t>
                                      </w:r>
                                    </w:hyperlink>
                                    <w:hyperlink r:id="rId15" w:tgtFrame="_blank" w:history="1">
                                      <w:r>
                                        <w:rPr>
                                          <w:rStyle w:val="Hyperlink"/>
                                          <w:rFonts w:ascii="Helvetica" w:hAnsi="Helvetica" w:cs="Helvetica"/>
                                          <w:b/>
                                          <w:bCs/>
                                          <w:color w:val="000000"/>
                                          <w:sz w:val="24"/>
                                          <w:szCs w:val="24"/>
                                          <w:u w:val="none"/>
                                        </w:rPr>
                                        <w:t xml:space="preserve"> </w:t>
                                      </w:r>
                                    </w:hyperlink>
                                    <w:r>
                                      <w:rPr>
                                        <w:rFonts w:ascii="Helvetica" w:hAnsi="Helvetica" w:cs="Helvetica"/>
                                        <w:color w:val="000000"/>
                                        <w:sz w:val="24"/>
                                        <w:szCs w:val="24"/>
                                      </w:rPr>
                                      <w:t xml:space="preserve">of both sets of bills, all of which were amended to incorporate substantive provisions just this morning. </w:t>
                                    </w:r>
                                  </w:p>
                                  <w:p w14:paraId="0D04F595" w14:textId="77777777"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w:t>
                                    </w:r>
                                  </w:p>
                                  <w:p w14:paraId="588FDE41" w14:textId="5E2DD225"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lastRenderedPageBreak/>
                                      <w:t xml:space="preserve">Housing for UC students isn’t a new issue, with well-documented challenges at </w:t>
                                    </w:r>
                                    <w:hyperlink r:id="rId16" w:tgtFrame="_blank" w:history="1">
                                      <w:r>
                                        <w:rPr>
                                          <w:rStyle w:val="Hyperlink"/>
                                          <w:rFonts w:ascii="Helvetica" w:hAnsi="Helvetica" w:cs="Helvetica"/>
                                          <w:b/>
                                          <w:bCs/>
                                          <w:color w:val="34B3D0"/>
                                          <w:sz w:val="24"/>
                                          <w:szCs w:val="24"/>
                                          <w:u w:val="none"/>
                                        </w:rPr>
                                        <w:t>UC San Diego</w:t>
                                      </w:r>
                                    </w:hyperlink>
                                    <w:r>
                                      <w:rPr>
                                        <w:rFonts w:ascii="Helvetica" w:hAnsi="Helvetica" w:cs="Helvetica"/>
                                        <w:color w:val="000000"/>
                                        <w:sz w:val="24"/>
                                        <w:szCs w:val="24"/>
                                      </w:rPr>
                                      <w:t xml:space="preserve">, </w:t>
                                    </w:r>
                                    <w:hyperlink r:id="rId17" w:tgtFrame="_blank" w:history="1">
                                      <w:r>
                                        <w:rPr>
                                          <w:rStyle w:val="Hyperlink"/>
                                          <w:rFonts w:ascii="Helvetica" w:hAnsi="Helvetica" w:cs="Helvetica"/>
                                          <w:b/>
                                          <w:bCs/>
                                          <w:color w:val="34B3D0"/>
                                          <w:sz w:val="24"/>
                                          <w:szCs w:val="24"/>
                                          <w:u w:val="none"/>
                                        </w:rPr>
                                        <w:t>UC Santa Cruz</w:t>
                                      </w:r>
                                    </w:hyperlink>
                                    <w:r>
                                      <w:rPr>
                                        <w:rFonts w:ascii="Helvetica" w:hAnsi="Helvetica" w:cs="Helvetica"/>
                                        <w:color w:val="000000"/>
                                        <w:sz w:val="24"/>
                                        <w:szCs w:val="24"/>
                                      </w:rPr>
                                      <w:t xml:space="preserve">, and </w:t>
                                    </w:r>
                                    <w:hyperlink r:id="rId18" w:tgtFrame="_blank" w:history="1">
                                      <w:r>
                                        <w:rPr>
                                          <w:rStyle w:val="Hyperlink"/>
                                          <w:rFonts w:ascii="Helvetica" w:hAnsi="Helvetica" w:cs="Helvetica"/>
                                          <w:b/>
                                          <w:bCs/>
                                          <w:color w:val="34B3D0"/>
                                          <w:sz w:val="24"/>
                                          <w:szCs w:val="24"/>
                                          <w:u w:val="none"/>
                                        </w:rPr>
                                        <w:t>UC Santa Barbara</w:t>
                                      </w:r>
                                    </w:hyperlink>
                                    <w:r>
                                      <w:rPr>
                                        <w:rFonts w:ascii="Helvetica" w:hAnsi="Helvetica" w:cs="Helvetica"/>
                                        <w:color w:val="000000"/>
                                        <w:sz w:val="24"/>
                                        <w:szCs w:val="24"/>
                                      </w:rPr>
                                      <w:t>, certainly in part attributable to the Legislature pushing UC to expand admissions to include more California students. Expect student housing to continue to be a focus for the Legislature through the end of the year. </w:t>
                                    </w:r>
                                  </w:p>
                                  <w:p w14:paraId="224E3B35" w14:textId="77777777" w:rsidR="005F56CE" w:rsidRDefault="005F56CE">
                                    <w:pPr>
                                      <w:pStyle w:val="NormalWeb"/>
                                      <w:rPr>
                                        <w:rFonts w:ascii="Helvetica" w:hAnsi="Helvetica" w:cs="Helvetica"/>
                                        <w:color w:val="606D78"/>
                                        <w:sz w:val="24"/>
                                        <w:szCs w:val="24"/>
                                      </w:rPr>
                                    </w:pPr>
                                    <w:r>
                                      <w:rPr>
                                        <w:rFonts w:ascii="Helvetica" w:hAnsi="Helvetica" w:cs="Helvetica"/>
                                        <w:b/>
                                        <w:bCs/>
                                        <w:color w:val="000000"/>
                                        <w:sz w:val="24"/>
                                        <w:szCs w:val="24"/>
                                      </w:rPr>
                                      <w:t>Adult Behavioral Health Issues Discussed by Assembly Subcommittee</w:t>
                                    </w:r>
                                  </w:p>
                                  <w:p w14:paraId="39ED083C" w14:textId="1EE3BC65"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Assembly Budget Subcommittee No. 1 on health and human services met on March 7 to discuss adult behavioral health proposals, including mobile crisis units, Bridge Housing, Medication Assisted Treatment, and Incompetent to Stand Trial budget proposals. The agenda can be viewed </w:t>
                                    </w:r>
                                    <w:hyperlink r:id="rId19" w:tgtFrame="_blank" w:history="1">
                                      <w:r>
                                        <w:rPr>
                                          <w:rStyle w:val="Hyperlink"/>
                                          <w:rFonts w:ascii="Helvetica" w:hAnsi="Helvetica" w:cs="Helvetica"/>
                                          <w:b/>
                                          <w:bCs/>
                                          <w:color w:val="34B3D0"/>
                                          <w:sz w:val="24"/>
                                          <w:szCs w:val="24"/>
                                          <w:u w:val="none"/>
                                        </w:rPr>
                                        <w:t>here</w:t>
                                      </w:r>
                                    </w:hyperlink>
                                    <w:r>
                                      <w:rPr>
                                        <w:rFonts w:ascii="Helvetica" w:hAnsi="Helvetica" w:cs="Helvetica"/>
                                        <w:color w:val="000000"/>
                                        <w:sz w:val="24"/>
                                        <w:szCs w:val="24"/>
                                      </w:rPr>
                                      <w:t xml:space="preserve">. Subcommittee Chair Joaquin </w:t>
                                    </w:r>
                                    <w:proofErr w:type="spellStart"/>
                                    <w:r>
                                      <w:rPr>
                                        <w:rFonts w:ascii="Helvetica" w:hAnsi="Helvetica" w:cs="Helvetica"/>
                                        <w:color w:val="000000"/>
                                        <w:sz w:val="24"/>
                                        <w:szCs w:val="24"/>
                                      </w:rPr>
                                      <w:t>Arambula</w:t>
                                    </w:r>
                                    <w:proofErr w:type="spellEnd"/>
                                    <w:r>
                                      <w:rPr>
                                        <w:rFonts w:ascii="Helvetica" w:hAnsi="Helvetica" w:cs="Helvetica"/>
                                        <w:color w:val="000000"/>
                                        <w:sz w:val="24"/>
                                        <w:szCs w:val="24"/>
                                      </w:rPr>
                                      <w:t xml:space="preserve"> set the Legislature’s tone for the hearing, stating that care and compassion are the California way, and we should not wait until individuals are decompensating and in jails before they get help. </w:t>
                                    </w:r>
                                  </w:p>
                                  <w:p w14:paraId="1E94E955" w14:textId="21BF3833"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The Administration provided an overview of their plans to implement the 988 </w:t>
                                    </w:r>
                                    <w:proofErr w:type="gramStart"/>
                                    <w:r>
                                      <w:rPr>
                                        <w:rFonts w:ascii="Helvetica" w:hAnsi="Helvetica" w:cs="Helvetica"/>
                                        <w:color w:val="000000"/>
                                        <w:sz w:val="24"/>
                                        <w:szCs w:val="24"/>
                                      </w:rPr>
                                      <w:t>hotline</w:t>
                                    </w:r>
                                    <w:proofErr w:type="gramEnd"/>
                                    <w:r>
                                      <w:rPr>
                                        <w:rFonts w:ascii="Helvetica" w:hAnsi="Helvetica" w:cs="Helvetica"/>
                                        <w:color w:val="000000"/>
                                        <w:sz w:val="24"/>
                                        <w:szCs w:val="24"/>
                                      </w:rPr>
                                      <w:t>. Under federal law, 988 will go live July 16, 2022, as a shortcut to call or text for help regarding suicide or other behavioral health crises. The Administration is working to develop a blueprint for implementation in California by the end of the current year. They will be developing statewide minimum standards and metrics; models and prototypes to implement locally, with the recognition that there will be different models in different counties and communities; a high-level overview of resources needed and what is available to be used; roles and responsibilities across state departments; identification of major milestones. The Administration recognizes it will take several years to get to the full implementation. </w:t>
                                    </w:r>
                                  </w:p>
                                  <w:p w14:paraId="083AC3F2" w14:textId="3FDBB745"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The Department of Health Care Services (DHCS) provided more details on the mobile crisis response service benefit being proposed for Medi-Cal. The department is engaging stakeholders on implementation of the benefit. The federal guidance requires the response team to include at least one behavioral health clinician who can provide an assessment. It could also include nurses, social workers, peer support specialists. DHCS also is looking at the best options for reimbursement. Services will have to be reimbursed at cost until July 1, 2023, when the behavioral health payment structure will switch from cost based to intergovernmental transfers. After July 2023, they are contemplating a fee schedule, possibly with episodic payments and incremental payments based on time.  </w:t>
                                    </w:r>
                                  </w:p>
                                  <w:p w14:paraId="138A5C72" w14:textId="6B12BB7D"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Panelists noted the need for continued investment in behavioral health infrastructure and workforce. Some noted concerns about competitive procurements not ensuring that behavioral health investments occur throughout the state. Match requirements can be problematic, both for counties </w:t>
                                    </w:r>
                                    <w:r>
                                      <w:rPr>
                                        <w:rFonts w:ascii="Helvetica" w:hAnsi="Helvetica" w:cs="Helvetica"/>
                                        <w:color w:val="000000"/>
                                        <w:sz w:val="24"/>
                                        <w:szCs w:val="24"/>
                                      </w:rPr>
                                      <w:lastRenderedPageBreak/>
                                      <w:t>and non-traditional providers. Panelists also noted several decisions still need to be made about mobile crisis units, including who makes decisions about where to take patients, who will be on the mobile crisis teams, the availability of crisis receiving facilities, checklist criteria for medical emergencies that may necessitate calling 911 and involvement of emergency medical services. </w:t>
                                    </w:r>
                                  </w:p>
                                  <w:p w14:paraId="03EB2D3C" w14:textId="48AF9A0E"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The Legislative Analyst’s Office raised some concerns about the mobile crisis benefit, including: 1) counties may not have adequate behavioral health workforce to staff these new mobile crisis teams; 2) rural counties may experience difficulty ensuring 24/7 access to mobile crisis care in more sparsely populated areas; 3) how federal guidance for best practices will be incorporated (examples include minimizing law enforcement involvement and coordinating with schools on youth-specific needs); and 4) the lack of clarity about whether the new Medicaid services will be allowed to continue beyond the five year period for which they have been authorized.  </w:t>
                                    </w:r>
                                  </w:p>
                                  <w:p w14:paraId="70330998" w14:textId="77777777" w:rsidR="005F56CE" w:rsidRDefault="005F56CE">
                                    <w:pPr>
                                      <w:pStyle w:val="NormalWeb"/>
                                      <w:rPr>
                                        <w:rFonts w:ascii="Helvetica" w:hAnsi="Helvetica" w:cs="Helvetica"/>
                                        <w:color w:val="606D78"/>
                                        <w:sz w:val="24"/>
                                        <w:szCs w:val="24"/>
                                      </w:rPr>
                                    </w:pPr>
                                    <w:r>
                                      <w:rPr>
                                        <w:rFonts w:ascii="Helvetica" w:hAnsi="Helvetica" w:cs="Helvetica"/>
                                        <w:b/>
                                        <w:bCs/>
                                        <w:color w:val="000000"/>
                                        <w:sz w:val="24"/>
                                        <w:szCs w:val="24"/>
                                      </w:rPr>
                                      <w:t>More News on CARE Court</w:t>
                                    </w:r>
                                  </w:p>
                                  <w:p w14:paraId="443D92E5" w14:textId="13B5D771"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While not on the March 7 Assembly Budget Subcommittee No. 1 agenda, the Administration did provide a high-level overview of the CARE Court proposal that the Governor unveiled on March 3. Stephanie Welch from the California Health and Human Services Agency spoke on behalf of the Administration, emphasizing that CARE Court is a proposed framework that will be more fully developed into policy solutions with the assistance of stakeholders and advocates. CARE Court is a “paradigm shift” meant to address behavioral health issues upstream to prevent conservatorships and incarceration. The Court will connect individuals with schizophrenia or psychosis disorder with a clinical assessment and a court-ordered plan. She also emphasized that CARE Court is not for everyone experiencing mental health or homelessness issues.  </w:t>
                                    </w:r>
                                  </w:p>
                                  <w:p w14:paraId="09392D17" w14:textId="77777777"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Yesterday, the Governor also held the first in a series of statewide convenings at Kress House, a residential housing facility that provides comprehensive behavioral health services for justice-involved individuals in Los Angeles. According to the Governor’s Office, these convenings are intended to bring together individuals who would benefit from the new framework, health care providers, first responders, outreach workers, representatives from the courts, local officials, and other stakeholders. The Administration also launched a CARE Court </w:t>
                                    </w:r>
                                    <w:hyperlink r:id="rId20" w:tgtFrame="_blank" w:history="1">
                                      <w:r>
                                        <w:rPr>
                                          <w:rStyle w:val="Hyperlink"/>
                                          <w:rFonts w:ascii="Helvetica" w:hAnsi="Helvetica" w:cs="Helvetica"/>
                                          <w:b/>
                                          <w:bCs/>
                                          <w:color w:val="34B3D0"/>
                                          <w:sz w:val="24"/>
                                          <w:szCs w:val="24"/>
                                          <w:u w:val="none"/>
                                        </w:rPr>
                                        <w:t>website</w:t>
                                      </w:r>
                                    </w:hyperlink>
                                    <w:r>
                                      <w:rPr>
                                        <w:rFonts w:ascii="Helvetica" w:hAnsi="Helvetica" w:cs="Helvetica"/>
                                        <w:color w:val="000000"/>
                                        <w:sz w:val="24"/>
                                        <w:szCs w:val="24"/>
                                      </w:rPr>
                                      <w:t xml:space="preserve">, which includes resources – including a new </w:t>
                                    </w:r>
                                    <w:hyperlink r:id="rId21" w:tgtFrame="_blank" w:history="1">
                                      <w:r>
                                        <w:rPr>
                                          <w:rStyle w:val="Hyperlink"/>
                                          <w:rFonts w:ascii="Helvetica" w:hAnsi="Helvetica" w:cs="Helvetica"/>
                                          <w:b/>
                                          <w:bCs/>
                                          <w:color w:val="34B3D0"/>
                                          <w:sz w:val="24"/>
                                          <w:szCs w:val="24"/>
                                          <w:u w:val="none"/>
                                        </w:rPr>
                                        <w:t>framework</w:t>
                                      </w:r>
                                    </w:hyperlink>
                                    <w:hyperlink r:id="rId22" w:tgtFrame="_blank" w:history="1">
                                      <w:r>
                                        <w:rPr>
                                          <w:rStyle w:val="Hyperlink"/>
                                          <w:rFonts w:ascii="Helvetica" w:hAnsi="Helvetica" w:cs="Helvetica"/>
                                          <w:b/>
                                          <w:bCs/>
                                          <w:color w:val="000000"/>
                                          <w:sz w:val="24"/>
                                          <w:szCs w:val="24"/>
                                          <w:u w:val="none"/>
                                        </w:rPr>
                                        <w:t xml:space="preserve"> </w:t>
                                      </w:r>
                                    </w:hyperlink>
                                    <w:hyperlink r:id="rId23" w:tgtFrame="_blank" w:history="1">
                                      <w:r>
                                        <w:rPr>
                                          <w:rStyle w:val="Hyperlink"/>
                                          <w:rFonts w:ascii="Helvetica" w:hAnsi="Helvetica" w:cs="Helvetica"/>
                                          <w:b/>
                                          <w:bCs/>
                                          <w:color w:val="34B3D0"/>
                                          <w:sz w:val="24"/>
                                          <w:szCs w:val="24"/>
                                          <w:u w:val="none"/>
                                        </w:rPr>
                                        <w:t>document</w:t>
                                      </w:r>
                                    </w:hyperlink>
                                    <w:r>
                                      <w:rPr>
                                        <w:rFonts w:ascii="Helvetica" w:hAnsi="Helvetica" w:cs="Helvetica"/>
                                        <w:color w:val="34B3D0"/>
                                        <w:sz w:val="24"/>
                                        <w:szCs w:val="24"/>
                                      </w:rPr>
                                      <w:t>.</w:t>
                                    </w:r>
                                    <w:r>
                                      <w:rPr>
                                        <w:rFonts w:ascii="Helvetica" w:hAnsi="Helvetica" w:cs="Helvetica"/>
                                        <w:color w:val="000000"/>
                                        <w:sz w:val="24"/>
                                        <w:szCs w:val="24"/>
                                      </w:rPr>
                                      <w:t xml:space="preserve"> Please note that stakeholders can </w:t>
                                    </w:r>
                                    <w:hyperlink r:id="rId24" w:tgtFrame="_blank" w:history="1">
                                      <w:r>
                                        <w:rPr>
                                          <w:rStyle w:val="Hyperlink"/>
                                          <w:rFonts w:ascii="Helvetica" w:hAnsi="Helvetica" w:cs="Helvetica"/>
                                          <w:b/>
                                          <w:bCs/>
                                          <w:color w:val="34B3D0"/>
                                          <w:sz w:val="24"/>
                                          <w:szCs w:val="24"/>
                                          <w:u w:val="none"/>
                                        </w:rPr>
                                        <w:t>register</w:t>
                                      </w:r>
                                    </w:hyperlink>
                                    <w:r>
                                      <w:rPr>
                                        <w:rFonts w:ascii="Helvetica" w:hAnsi="Helvetica" w:cs="Helvetica"/>
                                        <w:color w:val="000000"/>
                                        <w:sz w:val="24"/>
                                        <w:szCs w:val="24"/>
                                      </w:rPr>
                                      <w:t xml:space="preserve"> for a March 14 webinar on the proposal.</w:t>
                                    </w:r>
                                  </w:p>
                                  <w:p w14:paraId="71839349" w14:textId="77777777"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w:t>
                                    </w:r>
                                  </w:p>
                                  <w:p w14:paraId="5FB63FBE" w14:textId="77777777" w:rsidR="005F56CE" w:rsidRDefault="005F56CE">
                                    <w:pPr>
                                      <w:pStyle w:val="NormalWeb"/>
                                      <w:rPr>
                                        <w:rFonts w:ascii="Helvetica" w:hAnsi="Helvetica" w:cs="Helvetica"/>
                                        <w:color w:val="606D78"/>
                                        <w:sz w:val="24"/>
                                        <w:szCs w:val="24"/>
                                      </w:rPr>
                                    </w:pPr>
                                    <w:r>
                                      <w:rPr>
                                        <w:rFonts w:ascii="Helvetica" w:hAnsi="Helvetica" w:cs="Helvetica"/>
                                        <w:b/>
                                        <w:bCs/>
                                        <w:color w:val="000000"/>
                                        <w:sz w:val="24"/>
                                        <w:szCs w:val="24"/>
                                      </w:rPr>
                                      <w:lastRenderedPageBreak/>
                                      <w:t xml:space="preserve">Previewing the November 2022 Ballot </w:t>
                                    </w:r>
                                    <w:proofErr w:type="gramStart"/>
                                    <w:r>
                                      <w:rPr>
                                        <w:rFonts w:ascii="Helvetica" w:hAnsi="Helvetica" w:cs="Helvetica"/>
                                        <w:b/>
                                        <w:bCs/>
                                        <w:color w:val="000000"/>
                                        <w:sz w:val="24"/>
                                        <w:szCs w:val="24"/>
                                      </w:rPr>
                                      <w:t>Match-Ups</w:t>
                                    </w:r>
                                    <w:proofErr w:type="gramEnd"/>
                                  </w:p>
                                  <w:p w14:paraId="52C884FC" w14:textId="4216C10C" w:rsidR="005F56CE" w:rsidRDefault="005F56CE">
                                    <w:pPr>
                                      <w:pStyle w:val="NormalWeb"/>
                                      <w:rPr>
                                        <w:rFonts w:ascii="Helvetica" w:hAnsi="Helvetica" w:cs="Helvetica"/>
                                        <w:color w:val="606D78"/>
                                        <w:sz w:val="24"/>
                                        <w:szCs w:val="24"/>
                                      </w:rPr>
                                    </w:pPr>
                                    <w:r>
                                      <w:rPr>
                                        <w:rFonts w:ascii="Helvetica" w:hAnsi="Helvetica" w:cs="Helvetica"/>
                                        <w:color w:val="000000"/>
                                        <w:sz w:val="24"/>
                                        <w:szCs w:val="24"/>
                                      </w:rPr>
                                      <w:t xml:space="preserve">Today is the deadline for candidates to file for statewide races. For the last several months, several sitting members of the Legislature have announced moves, retirements, decisions not to seek re-election, departures for other jobs, or candidacy for other offices (e.g., Congress, city councils, Boards of Supervisors). Just yesterday, Assembly Member Tom Daly (D-Anaheim) announced that he will not be seeking re-election for his Orange County-based seat. As the dust settles, up to 35 legislators who began the 2021-22 legislative session will be gone by next year. Democrats have resolved all of the potential Democrat-on-Democrat incumbent </w:t>
                                    </w:r>
                                    <w:proofErr w:type="gramStart"/>
                                    <w:r>
                                      <w:rPr>
                                        <w:rFonts w:ascii="Helvetica" w:hAnsi="Helvetica" w:cs="Helvetica"/>
                                        <w:color w:val="000000"/>
                                        <w:sz w:val="24"/>
                                        <w:szCs w:val="24"/>
                                      </w:rPr>
                                      <w:t>match-ups</w:t>
                                    </w:r>
                                    <w:proofErr w:type="gramEnd"/>
                                    <w:r>
                                      <w:rPr>
                                        <w:rFonts w:ascii="Helvetica" w:hAnsi="Helvetica" w:cs="Helvetica"/>
                                        <w:color w:val="000000"/>
                                        <w:sz w:val="24"/>
                                        <w:szCs w:val="24"/>
                                      </w:rPr>
                                      <w:t>, with one of the members in the same-party faceoff deciding to retire, move to a new district, or to run for another office. </w:t>
                                    </w:r>
                                  </w:p>
                                  <w:p w14:paraId="0762359A" w14:textId="643F0ED3" w:rsidR="005F56CE" w:rsidRDefault="005F56CE" w:rsidP="005F56CE">
                                    <w:pPr>
                                      <w:pStyle w:val="NormalWeb"/>
                                      <w:rPr>
                                        <w:rFonts w:ascii="Helvetica" w:hAnsi="Helvetica" w:cs="Helvetica"/>
                                        <w:color w:val="606D78"/>
                                        <w:sz w:val="24"/>
                                        <w:szCs w:val="24"/>
                                      </w:rPr>
                                    </w:pPr>
                                    <w:r>
                                      <w:rPr>
                                        <w:rFonts w:ascii="Helvetica" w:hAnsi="Helvetica" w:cs="Helvetica"/>
                                        <w:color w:val="000000"/>
                                        <w:sz w:val="24"/>
                                        <w:szCs w:val="24"/>
                                      </w:rPr>
                                      <w:t xml:space="preserve">The Governor’s race has also settled with Governor Newsom as the only Democratic candidate. None of the high-profile Republicans who ran against the Governor during the recall last year chose to enter the field this year. The Republicans who will be vying to run against Newsom are state Senator Brian </w:t>
                                    </w:r>
                                    <w:proofErr w:type="spellStart"/>
                                    <w:r>
                                      <w:rPr>
                                        <w:rFonts w:ascii="Helvetica" w:hAnsi="Helvetica" w:cs="Helvetica"/>
                                        <w:color w:val="000000"/>
                                        <w:sz w:val="24"/>
                                        <w:szCs w:val="24"/>
                                      </w:rPr>
                                      <w:t>Dahle</w:t>
                                    </w:r>
                                    <w:proofErr w:type="spellEnd"/>
                                    <w:r>
                                      <w:rPr>
                                        <w:rFonts w:ascii="Helvetica" w:hAnsi="Helvetica" w:cs="Helvetica"/>
                                        <w:color w:val="000000"/>
                                        <w:sz w:val="24"/>
                                        <w:szCs w:val="24"/>
                                      </w:rPr>
                                      <w:t xml:space="preserve"> and Shawn Collins, a Navy veteran. Independent Michael </w:t>
                                    </w:r>
                                    <w:proofErr w:type="spellStart"/>
                                    <w:r>
                                      <w:rPr>
                                        <w:rFonts w:ascii="Helvetica" w:hAnsi="Helvetica" w:cs="Helvetica"/>
                                        <w:color w:val="000000"/>
                                        <w:sz w:val="24"/>
                                        <w:szCs w:val="24"/>
                                      </w:rPr>
                                      <w:t>Shellenberger</w:t>
                                    </w:r>
                                    <w:proofErr w:type="spellEnd"/>
                                    <w:r>
                                      <w:rPr>
                                        <w:rFonts w:ascii="Helvetica" w:hAnsi="Helvetica" w:cs="Helvetica"/>
                                        <w:color w:val="000000"/>
                                        <w:sz w:val="24"/>
                                        <w:szCs w:val="24"/>
                                      </w:rPr>
                                      <w:t xml:space="preserve"> announced his candidacy this week. After the resounding defeat of the recall effort last fall, capitol watchers assume the Governor is well-positioned to win a second term.</w:t>
                                    </w:r>
                                  </w:p>
                                </w:tc>
                              </w:tr>
                            </w:tbl>
                            <w:p w14:paraId="20195AF1" w14:textId="77777777" w:rsidR="005F56CE" w:rsidRDefault="005F56CE">
                              <w:pPr>
                                <w:jc w:val="center"/>
                                <w:rPr>
                                  <w:rFonts w:ascii="Times New Roman" w:eastAsia="Times New Roman" w:hAnsi="Times New Roman" w:cs="Times New Roman"/>
                                  <w:sz w:val="20"/>
                                  <w:szCs w:val="20"/>
                                </w:rPr>
                              </w:pPr>
                            </w:p>
                          </w:tc>
                        </w:tr>
                        <w:tr w:rsidR="005F56CE" w14:paraId="398225F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53224AE2" w14:textId="77777777">
                                <w:trPr>
                                  <w:trHeight w:val="15"/>
                                  <w:jc w:val="center"/>
                                </w:trPr>
                                <w:tc>
                                  <w:tcPr>
                                    <w:tcW w:w="5000" w:type="pct"/>
                                    <w:tcMar>
                                      <w:top w:w="0" w:type="dxa"/>
                                      <w:left w:w="0" w:type="dxa"/>
                                      <w:bottom w:w="150" w:type="dxa"/>
                                      <w:right w:w="0" w:type="dxa"/>
                                    </w:tcMar>
                                    <w:hideMark/>
                                  </w:tcPr>
                                  <w:p w14:paraId="37F87EB9" w14:textId="2A3D56BF" w:rsidR="005F56CE" w:rsidRDefault="005F56CE">
                                    <w:pPr>
                                      <w:spacing w:line="15" w:lineRule="atLeast"/>
                                      <w:jc w:val="center"/>
                                    </w:pPr>
                                    <w:r>
                                      <w:rPr>
                                        <w:noProof/>
                                      </w:rPr>
                                      <w:lastRenderedPageBreak/>
                                      <w:drawing>
                                        <wp:inline distT="0" distB="0" distL="0" distR="0" wp14:anchorId="2EA776A4" wp14:editId="6EE6E072">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59FAB79" w14:textId="77777777" w:rsidR="005F56CE" w:rsidRDefault="005F56CE">
                              <w:pPr>
                                <w:jc w:val="center"/>
                                <w:rPr>
                                  <w:rFonts w:ascii="Times New Roman" w:eastAsia="Times New Roman" w:hAnsi="Times New Roman" w:cs="Times New Roman"/>
                                  <w:sz w:val="20"/>
                                  <w:szCs w:val="20"/>
                                </w:rPr>
                              </w:pPr>
                            </w:p>
                          </w:tc>
                        </w:tr>
                        <w:tr w:rsidR="005F56CE" w14:paraId="4CA984E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5F56CE" w14:paraId="2C35CFCC" w14:textId="77777777">
                                <w:trPr>
                                  <w:jc w:val="center"/>
                                </w:trPr>
                                <w:tc>
                                  <w:tcPr>
                                    <w:tcW w:w="0" w:type="auto"/>
                                    <w:tcMar>
                                      <w:top w:w="150" w:type="dxa"/>
                                      <w:left w:w="300" w:type="dxa"/>
                                      <w:bottom w:w="150" w:type="dxa"/>
                                      <w:right w:w="300" w:type="dxa"/>
                                    </w:tcMar>
                                    <w:hideMark/>
                                  </w:tcPr>
                                  <w:p w14:paraId="33F3D4C1" w14:textId="77777777" w:rsidR="005F56CE" w:rsidRDefault="005F56CE"/>
                                </w:tc>
                              </w:tr>
                            </w:tbl>
                            <w:p w14:paraId="27719D3A" w14:textId="77777777" w:rsidR="005F56CE" w:rsidRDefault="005F56CE">
                              <w:pPr>
                                <w:jc w:val="center"/>
                                <w:rPr>
                                  <w:rFonts w:ascii="Times New Roman" w:eastAsia="Times New Roman" w:hAnsi="Times New Roman" w:cs="Times New Roman"/>
                                  <w:sz w:val="20"/>
                                  <w:szCs w:val="20"/>
                                </w:rPr>
                              </w:pPr>
                            </w:p>
                          </w:tc>
                        </w:tr>
                      </w:tbl>
                      <w:p w14:paraId="1E5D3D2F" w14:textId="77777777" w:rsidR="005F56CE" w:rsidRDefault="005F56CE">
                        <w:pPr>
                          <w:jc w:val="center"/>
                          <w:rPr>
                            <w:rFonts w:eastAsia="Times New Roman"/>
                          </w:rPr>
                        </w:pPr>
                      </w:p>
                    </w:tc>
                  </w:tr>
                </w:tbl>
                <w:p w14:paraId="12777E9A" w14:textId="77777777" w:rsidR="005F56CE" w:rsidRDefault="005F56CE">
                  <w:pPr>
                    <w:jc w:val="center"/>
                    <w:rPr>
                      <w:rFonts w:ascii="Times New Roman" w:eastAsia="Times New Roman" w:hAnsi="Times New Roman" w:cs="Times New Roman"/>
                      <w:sz w:val="20"/>
                      <w:szCs w:val="20"/>
                    </w:rPr>
                  </w:pPr>
                </w:p>
              </w:tc>
            </w:tr>
          </w:tbl>
          <w:p w14:paraId="0072BA6D" w14:textId="77777777" w:rsidR="005F56CE" w:rsidRDefault="005F56CE">
            <w:pPr>
              <w:jc w:val="center"/>
              <w:rPr>
                <w:rFonts w:ascii="Times New Roman" w:eastAsia="Times New Roman" w:hAnsi="Times New Roman" w:cs="Times New Roman"/>
                <w:sz w:val="20"/>
                <w:szCs w:val="20"/>
              </w:rPr>
            </w:pPr>
          </w:p>
        </w:tc>
      </w:tr>
    </w:tbl>
    <w:p w14:paraId="7662A16F" w14:textId="77777777" w:rsidR="000F4FD5" w:rsidRDefault="000F4FD5"/>
    <w:sectPr w:rsidR="000F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CE"/>
    <w:rsid w:val="000F4FD5"/>
    <w:rsid w:val="005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F4A6"/>
  <w15:chartTrackingRefBased/>
  <w15:docId w15:val="{3061D1C1-2B35-4CC9-8DBF-0A28D307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6CE"/>
    <w:rPr>
      <w:color w:val="0000FF"/>
      <w:u w:val="single"/>
    </w:rPr>
  </w:style>
  <w:style w:type="paragraph" w:styleId="NormalWeb">
    <w:name w:val="Normal (Web)"/>
    <w:basedOn w:val="Normal"/>
    <w:uiPriority w:val="99"/>
    <w:unhideWhenUsed/>
    <w:rsid w:val="005F56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cCjnzp3yxnAyhH3ZrcKe7m4JfjUPDjudoPSrZnKgwtSzpCfxgP3Wil308G5NqCdS-VL0Fu_cv63PJbsidBua1i0gO8kVfWP8gz4Fg9F-SF8cKyXhP-6RXYVMjttVip2ZI7-XhV65nDWopZTBNz-1Ly3IewVLSJ10VNrgSTSZLk1R4oFNjmFSyEnQTBuqLbTjw8CYYXiG5EeVfBfHMosVD7U0iM8nlKmSZ7oiZkeKgcDVwPk4HpH1-YHDLRca9XGF_Nkxp3xp-f_VPbL_DNyZc2WHzy20u_c8oSs91ZQqHrAjEk9MkZ3bShW80lWjb65F&amp;c=IR94nlXIKr04RRD5ap4PaQqwo0FUSQ9VCz9qNrDBTxCSoa90uDoeag==&amp;ch=q2_Go38P2_b0sMCNJZF2rZ_5Ezw5IaJOJ-p_tVR0U8bz0vZmCctSpw==" TargetMode="External"/><Relationship Id="rId13" Type="http://schemas.openxmlformats.org/officeDocument/2006/relationships/hyperlink" Target="https://r20.rs6.net/tn.jsp?f=001cCjnzp3yxnAyhH3ZrcKe7m4JfjUPDjudoPSrZnKgwtSzpCfxgP3Wil308G5NqCdSHelB07YoQfawGVwxibIKXZP1QweMZkz0DBLR8SgcZfYot5uUm5tpdmDYr_naw7rYUBNuFcKXi5mS0CI6R-ewciezDyha_3Ym2Ui4pOa2B_wItss6CtEFiKPzmzem_hnHiox-gnIO3oabz8-Gu0ZzGxCgCtttQcZcfoRFOfWQT2s=&amp;c=IR94nlXIKr04RRD5ap4PaQqwo0FUSQ9VCz9qNrDBTxCSoa90uDoeag==&amp;ch=q2_Go38P2_b0sMCNJZF2rZ_5Ezw5IaJOJ-p_tVR0U8bz0vZmCctSpw==" TargetMode="External"/><Relationship Id="rId18" Type="http://schemas.openxmlformats.org/officeDocument/2006/relationships/hyperlink" Target="https://r20.rs6.net/tn.jsp?f=001cCjnzp3yxnAyhH3ZrcKe7m4JfjUPDjudoPSrZnKgwtSzpCfxgP3Wil308G5NqCdSdMzbOXgp8dnIiNavOHWr7rfQFZjzPs7C25Brown4oOyCpEUzKgV0jnzY5ocNI8_zniO_HmH0LuHUxg9-52uZsDR6b1ian92rk_xMUh2Abciy6vRXk-aAqI5lY8TSP_90L3zzEu4y_qv5gGfr9D8Wvw==&amp;c=IR94nlXIKr04RRD5ap4PaQqwo0FUSQ9VCz9qNrDBTxCSoa90uDoeag==&amp;ch=q2_Go38P2_b0sMCNJZF2rZ_5Ezw5IaJOJ-p_tVR0U8bz0vZmCctSp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20.rs6.net/tn.jsp?f=001cCjnzp3yxnAyhH3ZrcKe7m4JfjUPDjudoPSrZnKgwtSzpCfxgP3Wil308G5NqCdSiMjTng-uxNq_qpYHw5lfzHz0GAUKcvjTPtlfKM9_HwnRFIRK2R92ktQaTpylkoWq1nn-gERM3-2jk1w45whrfPuxJ9Cuo6qWr0dXc8FlYL2Xl1pmpKiTlu_488X_5gnxd-R6MyBCi-MxNbkp7O8CaPWpoQlHhfL0xlorbwC73rU=&amp;c=IR94nlXIKr04RRD5ap4PaQqwo0FUSQ9VCz9qNrDBTxCSoa90uDoeag==&amp;ch=q2_Go38P2_b0sMCNJZF2rZ_5Ezw5IaJOJ-p_tVR0U8bz0vZmCctSpw==" TargetMode="External"/><Relationship Id="rId7" Type="http://schemas.openxmlformats.org/officeDocument/2006/relationships/hyperlink" Target="https://r20.rs6.net/tn.jsp?f=001cCjnzp3yxnAyhH3ZrcKe7m4JfjUPDjudoPSrZnKgwtSzpCfxgP3Wil308G5NqCdSFpLO0HgkPiJbqlnMUSum5P0HmPHq58PK82mTg9mkCcchO0uO2Lh1WAW333O8pTdt6H25LMOnw_mFSYS47rDlnwgDO-RA-9LK4YIk5qy2AF0T9hr9BGbCIymKPE7OytFoVaFWbx-AZiEl5RipGgsvwccyIg4oPkx3sPx8RvXMRLMy0k2Z4Fbo1tvrhBYt78lwy4YI81_XVCs=&amp;c=IR94nlXIKr04RRD5ap4PaQqwo0FUSQ9VCz9qNrDBTxCSoa90uDoeag==&amp;ch=q2_Go38P2_b0sMCNJZF2rZ_5Ezw5IaJOJ-p_tVR0U8bz0vZmCctSpw==" TargetMode="External"/><Relationship Id="rId12" Type="http://schemas.openxmlformats.org/officeDocument/2006/relationships/hyperlink" Target="https://r20.rs6.net/tn.jsp?f=001cCjnzp3yxnAyhH3ZrcKe7m4JfjUPDjudoPSrZnKgwtSzpCfxgP3Wil308G5NqCdSHmGG7Ynz235Gq_mgULG7XSSr5jAL-yNgLeHKQBEZ3vks3C9j78Fj5pSfaHK3LiZLuyUGCLawRqCsNELT55LfXtCu8lUGne2ORsRHv31I5LDO5kitDCvkU97aEGFnHFlMPrv864v1SapitjGnbN53xFmHHIDfNxBYqQBUUIossDc=&amp;c=IR94nlXIKr04RRD5ap4PaQqwo0FUSQ9VCz9qNrDBTxCSoa90uDoeag==&amp;ch=q2_Go38P2_b0sMCNJZF2rZ_5Ezw5IaJOJ-p_tVR0U8bz0vZmCctSpw==" TargetMode="External"/><Relationship Id="rId17" Type="http://schemas.openxmlformats.org/officeDocument/2006/relationships/hyperlink" Target="https://r20.rs6.net/tn.jsp?f=001cCjnzp3yxnAyhH3ZrcKe7m4JfjUPDjudoPSrZnKgwtSzpCfxgP3Wil308G5NqCdSklXc4UTMgAU6eU2PmrhW61JvV6JxA2zbD9l7bHtvrVSuckheQuIMo6e46TOZBt43JJjTeDOz8adPIwP6YmfGINYLsDNmuUE0JP1OnzYskYffjlHE6kmh1ViqTTb_V-Yl4hPMCQNTG35n06I5cOWmJe2B6WttlrJ6lyTad4VN0SHJXPOIS-wDruT5S6QAbQzrCLwUQ_iyijYiB70ZILN-N6O55HObJm0YuSwfDmPWFvvB2UTuJvVbMUsSRtsFmB465okPhNhMAAv78c59VuK8FQ==&amp;c=IR94nlXIKr04RRD5ap4PaQqwo0FUSQ9VCz9qNrDBTxCSoa90uDoeag==&amp;ch=q2_Go38P2_b0sMCNJZF2rZ_5Ezw5IaJOJ-p_tVR0U8bz0vZmCctSp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20.rs6.net/tn.jsp?f=001cCjnzp3yxnAyhH3ZrcKe7m4JfjUPDjudoPSrZnKgwtSzpCfxgP3Wil308G5NqCdS8hv6sl_fZcqJcOTafAoVGPO1UJRbIFKSZ4lUNeYM_0Fr8BCls-IhtSPUtghWlWnj2EPtIcjYYQI7RBE3YM1WnaJdHsdVmT7RWSX51fB0lnfXeIPo6NXqDPmRve85V97zcB_quljSEO91mBMbiSY2DxkdlqJwQkWOva98V4d3O_w=&amp;c=IR94nlXIKr04RRD5ap4PaQqwo0FUSQ9VCz9qNrDBTxCSoa90uDoeag==&amp;ch=q2_Go38P2_b0sMCNJZF2rZ_5Ezw5IaJOJ-p_tVR0U8bz0vZmCctSpw==" TargetMode="External"/><Relationship Id="rId20" Type="http://schemas.openxmlformats.org/officeDocument/2006/relationships/hyperlink" Target="https://r20.rs6.net/tn.jsp?f=001cCjnzp3yxnAyhH3ZrcKe7m4JfjUPDjudoPSrZnKgwtSzpCfxgP3Wil308G5NqCdScKW5DyTtyJkLF1MxEiXpHH4_lLxvz7gSpnH8gprRTnFiY1Kw2P_0ebFfBZ7yjb8jeFkBZ6jONbSase3SS9ZReif8hzu_RymQ&amp;c=IR94nlXIKr04RRD5ap4PaQqwo0FUSQ9VCz9qNrDBTxCSoa90uDoeag==&amp;ch=q2_Go38P2_b0sMCNJZF2rZ_5Ezw5IaJOJ-p_tVR0U8bz0vZmCctSpw==" TargetMode="External"/><Relationship Id="rId1" Type="http://schemas.openxmlformats.org/officeDocument/2006/relationships/styles" Target="styles.xml"/><Relationship Id="rId6" Type="http://schemas.openxmlformats.org/officeDocument/2006/relationships/hyperlink" Target="https://r20.rs6.net/tn.jsp?f=001cCjnzp3yxnAyhH3ZrcKe7m4JfjUPDjudoPSrZnKgwtSzpCfxgP3WimpX-YLzDxcEpJzbYYW2ki1ePGIhBrIa1P3Joixz9pXjjGIb1D9WV3MaJFrxZFwN-OdWwxwhaW6u8EYb9exEFwHpJj5HgU12Tw==&amp;c=IR94nlXIKr04RRD5ap4PaQqwo0FUSQ9VCz9qNrDBTxCSoa90uDoeag==&amp;ch=q2_Go38P2_b0sMCNJZF2rZ_5Ezw5IaJOJ-p_tVR0U8bz0vZmCctSpw==" TargetMode="External"/><Relationship Id="rId11" Type="http://schemas.openxmlformats.org/officeDocument/2006/relationships/hyperlink" Target="https://r20.rs6.net/tn.jsp?f=001cCjnzp3yxnAyhH3ZrcKe7m4JfjUPDjudoPSrZnKgwtSzpCfxgP3Wil308G5NqCdSZFM3qnX3WuU93OSxPLeybMeoJu7WvfvVCYjKirhP61jqjuLeBKmBRhBBUPJs0VId1OhOG4CfuMve-YA6SFQKzV_rJV7TVF6__7XMbbhTVJyzENpRMeVnAJ524pye1c-gQ098VjiVXK4GhNe87hxhyOhFWHuFbAn-QhBtD_P2y_g=&amp;c=IR94nlXIKr04RRD5ap4PaQqwo0FUSQ9VCz9qNrDBTxCSoa90uDoeag==&amp;ch=q2_Go38P2_b0sMCNJZF2rZ_5Ezw5IaJOJ-p_tVR0U8bz0vZmCctSpw==" TargetMode="External"/><Relationship Id="rId24" Type="http://schemas.openxmlformats.org/officeDocument/2006/relationships/hyperlink" Target="https://r20.rs6.net/tn.jsp?f=001cCjnzp3yxnAyhH3ZrcKe7m4JfjUPDjudoPSrZnKgwtSzpCfxgP3Wil308G5NqCdSwR6ZX87fuaL5guMmkKFLVmox5n8B5SXtjaNA0bKD3HOPL3YWz90R6IwdAT8SkzhkRcBCk5-t-l_jJyeEQ84S1Db3mCd8SxzWoLV6vW0RqaofW0z3fgQtTpced4KrYSoD5t1EYGCn1js=&amp;c=IR94nlXIKr04RRD5ap4PaQqwo0FUSQ9VCz9qNrDBTxCSoa90uDoeag==&amp;ch=q2_Go38P2_b0sMCNJZF2rZ_5Ezw5IaJOJ-p_tVR0U8bz0vZmCctSpw==" TargetMode="External"/><Relationship Id="rId5" Type="http://schemas.openxmlformats.org/officeDocument/2006/relationships/image" Target="media/image2.jpeg"/><Relationship Id="rId15" Type="http://schemas.openxmlformats.org/officeDocument/2006/relationships/hyperlink" Target="https://r20.rs6.net/tn.jsp?f=001cCjnzp3yxnAyhH3ZrcKe7m4JfjUPDjudoPSrZnKgwtSzpCfxgP3Wil308G5NqCdSAP9HXrPV_ETM8MXuoVts6V2MP2VI6Ur-Vdbburm6GKvLCAZOAsBZkMlUzNC7sPq8pw4En5Bb0f4lNg2L9rM1GhjNGixMCjqPsU7M6EBCxy40_RVHKz6hzun5aesIYX4jdZoq_Y93rXSsCce16XzvVetQ0XMHQl-hVKBnIUHBRvskRfNiIJMkATCueX7H0IBQ&amp;c=IR94nlXIKr04RRD5ap4PaQqwo0FUSQ9VCz9qNrDBTxCSoa90uDoeag==&amp;ch=q2_Go38P2_b0sMCNJZF2rZ_5Ezw5IaJOJ-p_tVR0U8bz0vZmCctSpw==" TargetMode="External"/><Relationship Id="rId23" Type="http://schemas.openxmlformats.org/officeDocument/2006/relationships/hyperlink" Target="https://r20.rs6.net/tn.jsp?f=001cCjnzp3yxnAyhH3ZrcKe7m4JfjUPDjudoPSrZnKgwtSzpCfxgP3Wil308G5NqCdSiMjTng-uxNq_qpYHw5lfzHz0GAUKcvjTPtlfKM9_HwnRFIRK2R92ktQaTpylkoWq1nn-gERM3-2jk1w45whrfPuxJ9Cuo6qWr0dXc8FlYL2Xl1pmpKiTlu_488X_5gnxd-R6MyBCi-MxNbkp7O8CaPWpoQlHhfL0xlorbwC73rU=&amp;c=IR94nlXIKr04RRD5ap4PaQqwo0FUSQ9VCz9qNrDBTxCSoa90uDoeag==&amp;ch=q2_Go38P2_b0sMCNJZF2rZ_5Ezw5IaJOJ-p_tVR0U8bz0vZmCctSpw==" TargetMode="External"/><Relationship Id="rId10" Type="http://schemas.openxmlformats.org/officeDocument/2006/relationships/hyperlink" Target="https://r20.rs6.net/tn.jsp?f=001cCjnzp3yxnAyhH3ZrcKe7m4JfjUPDjudoPSrZnKgwtSzpCfxgP3Wil308G5NqCdSZFM3qnX3WuU93OSxPLeybMeoJu7WvfvVCYjKirhP61jqjuLeBKmBRhBBUPJs0VId1OhOG4CfuMve-YA6SFQKzV_rJV7TVF6__7XMbbhTVJyzENpRMeVnAJ524pye1c-gQ098VjiVXK4GhNe87hxhyOhFWHuFbAn-QhBtD_P2y_g=&amp;c=IR94nlXIKr04RRD5ap4PaQqwo0FUSQ9VCz9qNrDBTxCSoa90uDoeag==&amp;ch=q2_Go38P2_b0sMCNJZF2rZ_5Ezw5IaJOJ-p_tVR0U8bz0vZmCctSpw==" TargetMode="External"/><Relationship Id="rId19" Type="http://schemas.openxmlformats.org/officeDocument/2006/relationships/hyperlink" Target="https://r20.rs6.net/tn.jsp?f=001cCjnzp3yxnAyhH3ZrcKe7m4JfjUPDjudoPSrZnKgwtSzpCfxgP3Wil308G5NqCdSjVdj-mfscqUgllq-xbR32UPHGGdkSx73eJE8dw7-6g-JoJ1xFu3zBiUie_CG6Ue1TRMVv9WoUfsgK4SMz7s9ujymaRMGhMQPl2XlLuwroZS3VskRi2h1w3JqImHqNkEWE1ZTJfbLEdbPPSCWk8-5BCsm8hvbQGkaX7k9I_uHvQ7iFS9peMZUCq6dhmJwtU3vm7quIOu4vrihIiyJP4QSV041ys0yy5-AzxEguIAJGD8u9L-oyGpQZQ==&amp;c=IR94nlXIKr04RRD5ap4PaQqwo0FUSQ9VCz9qNrDBTxCSoa90uDoeag==&amp;ch=q2_Go38P2_b0sMCNJZF2rZ_5Ezw5IaJOJ-p_tVR0U8bz0vZmCctSpw==" TargetMode="External"/><Relationship Id="rId4" Type="http://schemas.openxmlformats.org/officeDocument/2006/relationships/image" Target="media/image1.gif"/><Relationship Id="rId9" Type="http://schemas.openxmlformats.org/officeDocument/2006/relationships/hyperlink" Target="https://r20.rs6.net/tn.jsp?f=001cCjnzp3yxnAyhH3ZrcKe7m4JfjUPDjudoPSrZnKgwtSzpCfxgP3Wil308G5NqCdSPRxcRsLCadpjnJhHxLr0Bw9wKAWiRnN4JxxFbNFzUJHDTM5UB3Ndcst306W0qgfjikeVTo6F1FQF0Xlsj1E7BfPdTRZDaGzFqcXc0SR4Ie-V3VMfUY0nAq-rk62ML4JSWXjQfMZZxPAByMpdy0SkGj9I-CDupTS0sd3qX4HZJJs=&amp;c=IR94nlXIKr04RRD5ap4PaQqwo0FUSQ9VCz9qNrDBTxCSoa90uDoeag==&amp;ch=q2_Go38P2_b0sMCNJZF2rZ_5Ezw5IaJOJ-p_tVR0U8bz0vZmCctSpw==" TargetMode="External"/><Relationship Id="rId14" Type="http://schemas.openxmlformats.org/officeDocument/2006/relationships/hyperlink" Target="https://r20.rs6.net/tn.jsp?f=001cCjnzp3yxnAyhH3ZrcKe7m4JfjUPDjudoPSrZnKgwtSzpCfxgP3Wil308G5NqCdSAP9HXrPV_ETM8MXuoVts6V2MP2VI6Ur-Vdbburm6GKvLCAZOAsBZkMlUzNC7sPq8pw4En5Bb0f4lNg2L9rM1GhjNGixMCjqPsU7M6EBCxy40_RVHKz6hzun5aesIYX4jdZoq_Y93rXSsCce16XzvVetQ0XMHQl-hVKBnIUHBRvskRfNiIJMkATCueX7H0IBQ&amp;c=IR94nlXIKr04RRD5ap4PaQqwo0FUSQ9VCz9qNrDBTxCSoa90uDoeag==&amp;ch=q2_Go38P2_b0sMCNJZF2rZ_5Ezw5IaJOJ-p_tVR0U8bz0vZmCctSpw==" TargetMode="External"/><Relationship Id="rId22" Type="http://schemas.openxmlformats.org/officeDocument/2006/relationships/hyperlink" Target="https://r20.rs6.net/tn.jsp?f=001cCjnzp3yxnAyhH3ZrcKe7m4JfjUPDjudoPSrZnKgwtSzpCfxgP3Wil308G5NqCdSiMjTng-uxNq_qpYHw5lfzHz0GAUKcvjTPtlfKM9_HwnRFIRK2R92ktQaTpylkoWq1nn-gERM3-2jk1w45whrfPuxJ9Cuo6qWr0dXc8FlYL2Xl1pmpKiTlu_488X_5gnxd-R6MyBCi-MxNbkp7O8CaPWpoQlHhfL0xlorbwC73rU=&amp;c=IR94nlXIKr04RRD5ap4PaQqwo0FUSQ9VCz9qNrDBTxCSoa90uDoeag==&amp;ch=q2_Go38P2_b0sMCNJZF2rZ_5Ezw5IaJOJ-p_tVR0U8bz0vZmCctS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Childs-Ferguson</dc:creator>
  <cp:keywords/>
  <dc:description/>
  <cp:lastModifiedBy>Grace Childs-Ferguson</cp:lastModifiedBy>
  <cp:revision>1</cp:revision>
  <dcterms:created xsi:type="dcterms:W3CDTF">2022-03-16T00:46:00Z</dcterms:created>
  <dcterms:modified xsi:type="dcterms:W3CDTF">2022-03-16T00:48:00Z</dcterms:modified>
</cp:coreProperties>
</file>